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2025-03-30 15:13:26.667344</w:t>
      </w:r>
    </w:p>
    <w:p>
      <w:r>
        <w:br w:type="page"/>
      </w:r>
    </w:p>
    <w:bookmarkStart w:id="22" w:name="abstract"/>
    <w:p>
      <w:pPr>
        <w:pStyle w:val="Heading1"/>
      </w:pPr>
      <w:r>
        <w:t xml:space="preserve">Abstract</w:t>
      </w:r>
    </w:p>
    <w:p>
      <w:pPr>
        <w:pStyle w:val="FirstParagraph"/>
      </w:pPr>
      <w:r>
        <w:t xml:space="preserve">Real-world evidence (RWE) is increasingly used to complement evidence from randomized controlled trials (RCTs), contextualizing the effectiveness and safety of medical interventions as delivered in routine clinical practice. Advancements in the curation and accessibility of electronic health record data (EHR) have presented the opportunity to utilize real-world data (RWD) to investigate therapeutic areas such as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Emulation of Comparative Oncology Trials with Real-world Evidence (ENCORE) project, which aims to extend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are the go-to methodology for establishing the efficacy and safety of medical products. Under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coming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different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the same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it is unlikely to find patients who may be still treated with outdated treatment regimens in current clinical practice. Conversely, we excluded trials with results published too recently. To allow for enough data and follow-up time accrual in the real-world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is often not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including prognostic factors (e.g., ECOG performance score) are measurable and whether preliminary study size is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suggest that the threat of bias from mis-measurement of key study parameters or residual confounding remains high, or that the study size is not sufficient, then runner-up candidate trials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One important aspect when emulating oncology trials is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7"/>
    <w:bookmarkStart w:id="28"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9, 30</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51</w:t>
      </w:r>
      <w:r>
        <w:t xml:space="preserve"> </w:t>
      </w:r>
      <w:r>
        <w:t xml:space="preserve">Although this is also a common challenge in the analysis of RCTs,</w:t>
      </w:r>
      <w:r>
        <w:rPr>
          <w:vertAlign w:val="superscript"/>
        </w:rPr>
        <w:t xml:space="preserve">27</w:t>
      </w:r>
      <w:r>
        <w:t xml:space="preserve"> </w:t>
      </w:r>
      <w:r>
        <w:t xml:space="preserve">treatment practice in routine clinical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52</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44</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3"/>
    <w:bookmarkStart w:id="104" w:name="ref-manitz2022estimands"/>
    <w:p>
      <w:pPr>
        <w:pStyle w:val="Bibliography"/>
      </w:pPr>
      <w:r>
        <w:rPr>
          <w:b/>
          <w:bCs/>
        </w:rPr>
        <w:t xml:space="preserve">51</w:t>
      </w:r>
      <w:r>
        <w:t xml:space="preserve">. Manitz J, Kan-Dobrosky N, Buchner H, et al: Estimands for overall survival in clinical trials with treatment switching in oncology. Pharmaceutical Statistics 21:150–162, 2022</w:t>
      </w:r>
    </w:p>
    <w:bookmarkEnd w:id="104"/>
    <w:bookmarkStart w:id="105" w:name="ref-gaber2024mystifying"/>
    <w:p>
      <w:pPr>
        <w:pStyle w:val="Bibliography"/>
      </w:pPr>
      <w:r>
        <w:rPr>
          <w:b/>
          <w:bCs/>
        </w:rPr>
        <w:t xml:space="preserve">52</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59654"/>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4576577"/>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2025-03-30T15:14:41Z</dcterms:created>
  <dcterms:modified xsi:type="dcterms:W3CDTF">2025-03-30T15:14:41Z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